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676" w:rsidRPr="006F2676" w:rsidRDefault="00686F29" w:rsidP="00686F29">
      <w:pPr>
        <w:pStyle w:val="Heading1"/>
      </w:pPr>
      <w:r>
        <w:t>Conflict of Interest FAQ</w:t>
      </w:r>
    </w:p>
    <w:p w:rsidR="00686F29" w:rsidRDefault="00686F29" w:rsidP="00686F29">
      <w:r>
        <w:t xml:space="preserve">The public looks to university research as an independent, unbiased source of information. Because some university researchers also conduct research for private entities or have private interests in entities that contribute to research, the federal government, State of Nebraska, and UNL require disclosure of </w:t>
      </w:r>
      <w:r w:rsidR="001F2D81">
        <w:t>financial</w:t>
      </w:r>
      <w:r>
        <w:t xml:space="preserve"> interests. </w:t>
      </w:r>
    </w:p>
    <w:p w:rsidR="006F2676" w:rsidRPr="006F2676" w:rsidRDefault="00686F29" w:rsidP="00686F29">
      <w:r>
        <w:t xml:space="preserve">UNL requires disclosure of interests that </w:t>
      </w:r>
      <w:r w:rsidR="006C0A40" w:rsidRPr="006C0A40">
        <w:rPr>
          <w:i/>
        </w:rPr>
        <w:t>appear to be related to</w:t>
      </w:r>
      <w:r w:rsidRPr="006C0A40">
        <w:rPr>
          <w:i/>
        </w:rPr>
        <w:t xml:space="preserve"> your institutional responsibilities</w:t>
      </w:r>
      <w:r>
        <w:t>.</w:t>
      </w:r>
      <w:r w:rsidR="006F2676" w:rsidRPr="006F2676">
        <w:br/>
      </w:r>
    </w:p>
    <w:p w:rsidR="006F2676" w:rsidRPr="00686F29" w:rsidRDefault="006F2676" w:rsidP="006F2676">
      <w:pPr>
        <w:rPr>
          <w:b/>
        </w:rPr>
      </w:pPr>
      <w:r w:rsidRPr="00686F29">
        <w:rPr>
          <w:b/>
        </w:rPr>
        <w:t xml:space="preserve">Who must disclose </w:t>
      </w:r>
      <w:r w:rsidR="002D74D6">
        <w:rPr>
          <w:b/>
        </w:rPr>
        <w:t>financial</w:t>
      </w:r>
      <w:r w:rsidRPr="00686F29">
        <w:rPr>
          <w:b/>
        </w:rPr>
        <w:t xml:space="preserve"> interests?</w:t>
      </w:r>
    </w:p>
    <w:p w:rsidR="006F2676" w:rsidRPr="005D6C84" w:rsidRDefault="006F2676" w:rsidP="00686F29">
      <w:pPr>
        <w:pStyle w:val="ListParagraph"/>
        <w:numPr>
          <w:ilvl w:val="0"/>
          <w:numId w:val="10"/>
        </w:numPr>
        <w:rPr>
          <w:color w:val="auto"/>
        </w:rPr>
      </w:pPr>
      <w:r w:rsidRPr="005D6C84">
        <w:rPr>
          <w:color w:val="auto"/>
        </w:rPr>
        <w:t>UNL persons who have delegated signatory authority and/or purchasing or contracting authority</w:t>
      </w:r>
    </w:p>
    <w:p w:rsidR="006F2676" w:rsidRPr="006F2676" w:rsidRDefault="00686F29" w:rsidP="006F2676">
      <w:pPr>
        <w:numPr>
          <w:ilvl w:val="0"/>
          <w:numId w:val="1"/>
        </w:numPr>
      </w:pPr>
      <w:r>
        <w:t>Full time u</w:t>
      </w:r>
      <w:r w:rsidR="006F2676" w:rsidRPr="006F2676">
        <w:t>niversity employees and faculty engaged in outside employment or other activities</w:t>
      </w:r>
      <w:r w:rsidR="001F2D81">
        <w:t xml:space="preserve"> (except office/service personnel)</w:t>
      </w:r>
    </w:p>
    <w:p w:rsidR="006F2676" w:rsidRDefault="006F2676" w:rsidP="006F2676">
      <w:pPr>
        <w:numPr>
          <w:ilvl w:val="0"/>
          <w:numId w:val="1"/>
        </w:numPr>
      </w:pPr>
      <w:r w:rsidRPr="006F2676">
        <w:t>Individual</w:t>
      </w:r>
      <w:r w:rsidR="00527272">
        <w:t>s conducting</w:t>
      </w:r>
      <w:bookmarkStart w:id="0" w:name="_GoBack"/>
      <w:bookmarkEnd w:id="0"/>
      <w:r w:rsidR="00527272">
        <w:t xml:space="preserve"> sponsored research</w:t>
      </w:r>
    </w:p>
    <w:p w:rsidR="00932389" w:rsidRPr="00932389" w:rsidRDefault="00932389" w:rsidP="00932389">
      <w:pPr>
        <w:rPr>
          <w:b/>
        </w:rPr>
      </w:pPr>
      <w:r w:rsidRPr="00932389">
        <w:rPr>
          <w:b/>
        </w:rPr>
        <w:t>Why must I disclose?</w:t>
      </w:r>
    </w:p>
    <w:p w:rsidR="00932389" w:rsidRDefault="00932389" w:rsidP="00932389">
      <w:r>
        <w:t>Federal regulations require institutions that receive federal funding to establish policies and guidelines for the management of potential conflicts of interest. The purpose of these policies and procedures is to protect the credibility and integrity of UNL and to foster public trust and confidence.</w:t>
      </w:r>
    </w:p>
    <w:p w:rsidR="00932389" w:rsidRPr="006F2676" w:rsidRDefault="00932389" w:rsidP="00932389">
      <w:r>
        <w:t>The disclosure process is not intended to discourage participation in activities outside of UNL.</w:t>
      </w:r>
    </w:p>
    <w:p w:rsidR="006F2676" w:rsidRPr="00686F29" w:rsidRDefault="006F2676" w:rsidP="006F2676">
      <w:pPr>
        <w:rPr>
          <w:b/>
        </w:rPr>
      </w:pPr>
      <w:r w:rsidRPr="00686F29">
        <w:rPr>
          <w:b/>
        </w:rPr>
        <w:t xml:space="preserve">What </w:t>
      </w:r>
      <w:r w:rsidR="002D74D6">
        <w:rPr>
          <w:b/>
        </w:rPr>
        <w:t xml:space="preserve">financial interests </w:t>
      </w:r>
      <w:r w:rsidRPr="00686F29">
        <w:rPr>
          <w:b/>
        </w:rPr>
        <w:t>must be disclosed?</w:t>
      </w:r>
    </w:p>
    <w:p w:rsidR="006F2676" w:rsidRPr="006F2676" w:rsidRDefault="006F2676" w:rsidP="006F2676">
      <w:r w:rsidRPr="006F2676">
        <w:t>Financial interests</w:t>
      </w:r>
      <w:r w:rsidR="00686F29">
        <w:t xml:space="preserve"> that reasonably appear to be</w:t>
      </w:r>
      <w:r w:rsidRPr="006F2676">
        <w:t xml:space="preserve"> related to </w:t>
      </w:r>
      <w:r w:rsidR="002D74D6">
        <w:t>your</w:t>
      </w:r>
      <w:r w:rsidRPr="006F2676">
        <w:t xml:space="preserve"> </w:t>
      </w:r>
      <w:r w:rsidR="002D74D6">
        <w:t>institutional</w:t>
      </w:r>
      <w:r w:rsidRPr="006F2676">
        <w:t xml:space="preserve"> responsibilities must be disclosed on an annual basis </w:t>
      </w:r>
      <w:r w:rsidR="002D74D6">
        <w:t xml:space="preserve">by filing an Interest and Outside Activity Reporting Form (IOARF) on </w:t>
      </w:r>
      <w:proofErr w:type="spellStart"/>
      <w:r w:rsidR="002D74D6">
        <w:t>NUgrant</w:t>
      </w:r>
      <w:proofErr w:type="spellEnd"/>
      <w:r w:rsidRPr="006F2676">
        <w:t>. Financial interests include, but are not limited to: </w:t>
      </w:r>
    </w:p>
    <w:p w:rsidR="006F2676" w:rsidRPr="006F2676" w:rsidRDefault="006F2676" w:rsidP="006F2676">
      <w:pPr>
        <w:numPr>
          <w:ilvl w:val="0"/>
          <w:numId w:val="2"/>
        </w:numPr>
      </w:pPr>
      <w:r w:rsidRPr="006F2676">
        <w:t>Consulting income, royalties, salary or other payments you receive outside th</w:t>
      </w:r>
      <w:r w:rsidR="002D74D6">
        <w:t>e University of Nebraska system</w:t>
      </w:r>
    </w:p>
    <w:p w:rsidR="006F2676" w:rsidRPr="006F2676" w:rsidRDefault="006F2676" w:rsidP="006F2676">
      <w:pPr>
        <w:numPr>
          <w:ilvl w:val="0"/>
          <w:numId w:val="2"/>
        </w:numPr>
      </w:pPr>
      <w:r w:rsidRPr="006F2676">
        <w:t>Equity interests (e.g., stocks, stock options, bonds or other ownership interests) in entities related to your institutional responsibilities</w:t>
      </w:r>
    </w:p>
    <w:p w:rsidR="006F2676" w:rsidRPr="006F2676" w:rsidRDefault="006F2676" w:rsidP="002D74D6">
      <w:pPr>
        <w:numPr>
          <w:ilvl w:val="0"/>
          <w:numId w:val="2"/>
        </w:numPr>
      </w:pPr>
      <w:r w:rsidRPr="006F2676">
        <w:t>Intellectual property rights and interests (e.g., patents, copyrights, licenses) upon receipt of inco</w:t>
      </w:r>
      <w:r w:rsidR="002D74D6">
        <w:t>me to such rights and interests</w:t>
      </w:r>
    </w:p>
    <w:p w:rsidR="006F2676" w:rsidRPr="006F2676" w:rsidRDefault="006F2676" w:rsidP="006F2676">
      <w:pPr>
        <w:numPr>
          <w:ilvl w:val="0"/>
          <w:numId w:val="2"/>
        </w:numPr>
      </w:pPr>
      <w:r w:rsidRPr="006F2676">
        <w:t xml:space="preserve">If you are receiving funds </w:t>
      </w:r>
      <w:r w:rsidR="0091044A">
        <w:t>from</w:t>
      </w:r>
      <w:r w:rsidR="0091044A" w:rsidRPr="006F2676">
        <w:t xml:space="preserve"> </w:t>
      </w:r>
      <w:r w:rsidRPr="006F2676">
        <w:t xml:space="preserve">a Public Health Service awarding agency, </w:t>
      </w:r>
      <w:r w:rsidR="002D74D6">
        <w:t>s</w:t>
      </w:r>
      <w:r w:rsidRPr="006F2676">
        <w:t>ponsored or reimbursed travel must be disclosed</w:t>
      </w:r>
    </w:p>
    <w:p w:rsidR="006F2676" w:rsidRDefault="006F2676" w:rsidP="006F2676">
      <w:r w:rsidRPr="006F2676">
        <w:t>Such financial interests include interests related to a covered person's immediate family, business relationships, fiduciary</w:t>
      </w:r>
      <w:r w:rsidR="002D74D6">
        <w:t xml:space="preserve"> relationships, or investments.</w:t>
      </w:r>
    </w:p>
    <w:p w:rsidR="005D6C84" w:rsidRDefault="005D6C84" w:rsidP="002D74D6">
      <w:pPr>
        <w:rPr>
          <w:b/>
        </w:rPr>
      </w:pPr>
    </w:p>
    <w:p w:rsidR="002D74D6" w:rsidRPr="002D74D6" w:rsidRDefault="002D74D6" w:rsidP="002D74D6">
      <w:pPr>
        <w:rPr>
          <w:b/>
        </w:rPr>
      </w:pPr>
      <w:r w:rsidRPr="002D74D6">
        <w:rPr>
          <w:b/>
        </w:rPr>
        <w:lastRenderedPageBreak/>
        <w:t>Are there exceptions to what must be disclosed?</w:t>
      </w:r>
    </w:p>
    <w:p w:rsidR="002D74D6" w:rsidRPr="006F2676" w:rsidRDefault="002D74D6" w:rsidP="002D74D6">
      <w:r w:rsidRPr="006F2676">
        <w:t>The following interests do not need to be disclosed: </w:t>
      </w:r>
    </w:p>
    <w:p w:rsidR="002D74D6" w:rsidRPr="006F2676" w:rsidRDefault="002D74D6" w:rsidP="002D74D6">
      <w:pPr>
        <w:numPr>
          <w:ilvl w:val="0"/>
          <w:numId w:val="3"/>
        </w:numPr>
      </w:pPr>
      <w:r w:rsidRPr="006F2676">
        <w:t xml:space="preserve">Interests </w:t>
      </w:r>
      <w:r w:rsidR="006C0A40">
        <w:t xml:space="preserve">that do </w:t>
      </w:r>
      <w:r w:rsidRPr="006F2676">
        <w:t xml:space="preserve">not </w:t>
      </w:r>
      <w:r w:rsidR="006C0A40">
        <w:t xml:space="preserve">reasonably appear to be </w:t>
      </w:r>
      <w:r w:rsidRPr="006F2676">
        <w:t xml:space="preserve">related to </w:t>
      </w:r>
      <w:r>
        <w:t>your institutional</w:t>
      </w:r>
      <w:r w:rsidRPr="006F2676">
        <w:t xml:space="preserve"> responsibilities</w:t>
      </w:r>
    </w:p>
    <w:p w:rsidR="002D74D6" w:rsidRPr="006F2676" w:rsidRDefault="002D74D6" w:rsidP="002D74D6">
      <w:pPr>
        <w:numPr>
          <w:ilvl w:val="0"/>
          <w:numId w:val="3"/>
        </w:numPr>
      </w:pPr>
      <w:r w:rsidRPr="006F2676">
        <w:t>Salary, royalties, or other remuneration paid by UNL</w:t>
      </w:r>
    </w:p>
    <w:p w:rsidR="002D74D6" w:rsidRPr="006F2676" w:rsidRDefault="002D74D6" w:rsidP="002D74D6">
      <w:pPr>
        <w:numPr>
          <w:ilvl w:val="0"/>
          <w:numId w:val="3"/>
        </w:numPr>
      </w:pPr>
      <w:r w:rsidRPr="006F2676">
        <w:t>Income from seminars, lectures, or teaching engagements sponsored by a federal, state, or local government agency, a U.S. institution of higher education, an academic teaching hospital, medical center, or a research institute that is affiliated with a U.S. institution of higher education.</w:t>
      </w:r>
    </w:p>
    <w:p w:rsidR="002D74D6" w:rsidRPr="006F2676" w:rsidRDefault="002D74D6" w:rsidP="006F2676">
      <w:pPr>
        <w:numPr>
          <w:ilvl w:val="0"/>
          <w:numId w:val="3"/>
        </w:numPr>
      </w:pPr>
      <w:r w:rsidRPr="006F2676">
        <w:t xml:space="preserve">Income from investment vehicles, such as mutual funds and retirement accounts, as long as </w:t>
      </w:r>
      <w:r w:rsidR="001F2D81">
        <w:t xml:space="preserve">you do </w:t>
      </w:r>
      <w:r w:rsidRPr="006F2676">
        <w:t>not directly control the investment decisions made in these vehicles.</w:t>
      </w:r>
    </w:p>
    <w:p w:rsidR="006F2676" w:rsidRPr="001F2D81" w:rsidRDefault="006F2676" w:rsidP="006F2676">
      <w:pPr>
        <w:rPr>
          <w:b/>
        </w:rPr>
      </w:pPr>
      <w:r w:rsidRPr="001F2D81">
        <w:rPr>
          <w:b/>
        </w:rPr>
        <w:t>What are "</w:t>
      </w:r>
      <w:r w:rsidR="001F2D81">
        <w:rPr>
          <w:b/>
        </w:rPr>
        <w:t>institutional r</w:t>
      </w:r>
      <w:r w:rsidRPr="001F2D81">
        <w:rPr>
          <w:b/>
        </w:rPr>
        <w:t>esponsibilities"?</w:t>
      </w:r>
    </w:p>
    <w:p w:rsidR="006F2676" w:rsidRPr="006F2676" w:rsidRDefault="006F2676" w:rsidP="006F2676">
      <w:r w:rsidRPr="006F2676">
        <w:t>"</w:t>
      </w:r>
      <w:r w:rsidR="001F2D81">
        <w:t>Institutional</w:t>
      </w:r>
      <w:r w:rsidRPr="006F2676">
        <w:t xml:space="preserve"> responsibilities" </w:t>
      </w:r>
      <w:r w:rsidR="006C0A40">
        <w:t>are</w:t>
      </w:r>
      <w:r w:rsidRPr="006F2676">
        <w:t xml:space="preserve"> activities such as procurement, research, teaching, institutional committee memberships, and service on panels such as Institutional Review Boards or Data and Safety Monitoring Boards. </w:t>
      </w:r>
    </w:p>
    <w:p w:rsidR="006F2676" w:rsidRPr="006C0A40" w:rsidRDefault="006F2676" w:rsidP="006F2676">
      <w:pPr>
        <w:rPr>
          <w:b/>
        </w:rPr>
      </w:pPr>
      <w:r w:rsidRPr="006C0A40">
        <w:rPr>
          <w:b/>
        </w:rPr>
        <w:t>Who is included in the definition of "immediate family"?</w:t>
      </w:r>
    </w:p>
    <w:p w:rsidR="006F2676" w:rsidRPr="006F2676" w:rsidRDefault="006F2676" w:rsidP="006F2676">
      <w:r w:rsidRPr="006F2676">
        <w:t xml:space="preserve">Immediate family is defined as </w:t>
      </w:r>
      <w:r w:rsidR="006C0A40">
        <w:t>your</w:t>
      </w:r>
      <w:r w:rsidRPr="006F2676">
        <w:t xml:space="preserve"> spouse, child, parent, brother, sister, grandchild, or grandparent, by blood, marriage, or adoption</w:t>
      </w:r>
      <w:r w:rsidR="006C0A40">
        <w:t>, or an individual who is your Adult Designee</w:t>
      </w:r>
      <w:r w:rsidRPr="006F2676">
        <w:t xml:space="preserve">. Therefore, interests held by the parents of </w:t>
      </w:r>
      <w:r w:rsidR="006C0A40">
        <w:t>your</w:t>
      </w:r>
      <w:r w:rsidRPr="006F2676">
        <w:t xml:space="preserve"> </w:t>
      </w:r>
      <w:r w:rsidR="006C0A40">
        <w:t>spouse</w:t>
      </w:r>
      <w:r w:rsidRPr="006F2676">
        <w:t xml:space="preserve"> would be considered financial interests that would need to be disclosed if they are related to </w:t>
      </w:r>
      <w:r w:rsidR="006C0A40">
        <w:t>your institutional</w:t>
      </w:r>
      <w:r w:rsidRPr="006F2676">
        <w:t xml:space="preserve"> responsibilities. </w:t>
      </w:r>
    </w:p>
    <w:p w:rsidR="006F2676" w:rsidRPr="006C0A40" w:rsidRDefault="006F2676" w:rsidP="006F2676">
      <w:pPr>
        <w:rPr>
          <w:b/>
        </w:rPr>
      </w:pPr>
      <w:r w:rsidRPr="006C0A40">
        <w:rPr>
          <w:b/>
        </w:rPr>
        <w:t>Would I need to disclose income received from international universities or non-profit agencies?</w:t>
      </w:r>
    </w:p>
    <w:p w:rsidR="006F2676" w:rsidRPr="006F2676" w:rsidRDefault="006F2676" w:rsidP="006F2676">
      <w:r w:rsidRPr="006F2676">
        <w:t>Yes. Payments received from entities that are not exempt from the disclosure requirement (see above) must be disclosed. </w:t>
      </w:r>
    </w:p>
    <w:p w:rsidR="006C0A40" w:rsidRDefault="006C0A40" w:rsidP="006F2676">
      <w:pPr>
        <w:rPr>
          <w:b/>
        </w:rPr>
      </w:pPr>
      <w:r>
        <w:rPr>
          <w:b/>
        </w:rPr>
        <w:t>If part of my salary is funded by a grant, would I need to disclose such a payment?</w:t>
      </w:r>
    </w:p>
    <w:p w:rsidR="006C0A40" w:rsidRDefault="006F2676" w:rsidP="006F2676">
      <w:r w:rsidRPr="006F2676">
        <w:t xml:space="preserve">Funding that is </w:t>
      </w:r>
      <w:r w:rsidR="006C0A40">
        <w:t>routed through the appropriate U</w:t>
      </w:r>
      <w:r w:rsidRPr="006F2676">
        <w:t xml:space="preserve">niversity channels (such as the Office of Sponsored Programs) </w:t>
      </w:r>
      <w:r w:rsidR="006C0A40">
        <w:t xml:space="preserve">would not need to be reported. </w:t>
      </w:r>
      <w:r w:rsidRPr="006F2676">
        <w:t xml:space="preserve">All payments </w:t>
      </w:r>
      <w:r w:rsidR="006C0A40">
        <w:t xml:space="preserve">you receive </w:t>
      </w:r>
      <w:r w:rsidR="006C0A40" w:rsidRPr="006C0A40">
        <w:rPr>
          <w:i/>
        </w:rPr>
        <w:t>directly</w:t>
      </w:r>
      <w:r w:rsidR="006C0A40">
        <w:t xml:space="preserve"> from an outside entity must be disclosed if they appear to be related to your institutional responsibilities. </w:t>
      </w:r>
    </w:p>
    <w:p w:rsidR="006F2676" w:rsidRPr="006C0A40" w:rsidRDefault="0019306F" w:rsidP="006F2676">
      <w:pPr>
        <w:rPr>
          <w:b/>
        </w:rPr>
      </w:pPr>
      <w:r>
        <w:rPr>
          <w:b/>
        </w:rPr>
        <w:t>What is the disclosure process?</w:t>
      </w:r>
    </w:p>
    <w:p w:rsidR="0019306F" w:rsidRDefault="0019306F" w:rsidP="0019306F">
      <w:r>
        <w:t xml:space="preserve">Complete an IOARF on </w:t>
      </w:r>
      <w:proofErr w:type="spellStart"/>
      <w:r>
        <w:t>NUgrant</w:t>
      </w:r>
      <w:proofErr w:type="spellEnd"/>
      <w:r>
        <w:t xml:space="preserve"> prior to engaging in research. Disclose all interests and outside activities related to your institutional responsibilities annually.</w:t>
      </w:r>
    </w:p>
    <w:p w:rsidR="005D6C84" w:rsidRDefault="005D6C84" w:rsidP="0019306F">
      <w:pPr>
        <w:rPr>
          <w:b/>
        </w:rPr>
      </w:pPr>
    </w:p>
    <w:p w:rsidR="005D6C84" w:rsidRDefault="005D6C84" w:rsidP="0019306F">
      <w:pPr>
        <w:rPr>
          <w:b/>
        </w:rPr>
      </w:pPr>
    </w:p>
    <w:p w:rsidR="005D6C84" w:rsidRDefault="005D6C84" w:rsidP="0019306F">
      <w:pPr>
        <w:rPr>
          <w:b/>
        </w:rPr>
      </w:pPr>
    </w:p>
    <w:p w:rsidR="005D6C84" w:rsidRDefault="005D6C84" w:rsidP="0019306F">
      <w:pPr>
        <w:rPr>
          <w:b/>
        </w:rPr>
      </w:pPr>
    </w:p>
    <w:p w:rsidR="0019306F" w:rsidRPr="0019306F" w:rsidRDefault="0019306F" w:rsidP="0019306F">
      <w:pPr>
        <w:rPr>
          <w:b/>
        </w:rPr>
      </w:pPr>
      <w:r w:rsidRPr="0019306F">
        <w:rPr>
          <w:b/>
        </w:rPr>
        <w:lastRenderedPageBreak/>
        <w:t>What is the review process?</w:t>
      </w:r>
    </w:p>
    <w:p w:rsidR="0019306F" w:rsidRDefault="0019306F" w:rsidP="0019306F">
      <w:r>
        <w:t>Your IOARF will be routed to your department chair/director and director. It will then go to Research Compliance Services for review of financial interests and to your appropriate vice chancellor for review of your outside activities. Often, disclosure of financial interests is sufficient. In situations where potential conflicts of interest must be managed beyond disclosure, Research Compliance Services will work with you to either:</w:t>
      </w:r>
    </w:p>
    <w:p w:rsidR="0019306F" w:rsidRPr="005D6C84" w:rsidRDefault="00527272" w:rsidP="0019306F">
      <w:pPr>
        <w:pStyle w:val="ListParagraph"/>
        <w:numPr>
          <w:ilvl w:val="0"/>
          <w:numId w:val="11"/>
        </w:numPr>
        <w:rPr>
          <w:color w:val="auto"/>
        </w:rPr>
      </w:pPr>
      <w:r w:rsidRPr="005D6C84">
        <w:rPr>
          <w:color w:val="auto"/>
        </w:rPr>
        <w:t>Choose a standard method for managing the conflict as listed in the UNL Conflict of Interest in Research Policy; or</w:t>
      </w:r>
    </w:p>
    <w:p w:rsidR="00CC10BF" w:rsidRPr="005D6C84" w:rsidRDefault="00527272" w:rsidP="00CC10BF">
      <w:pPr>
        <w:pStyle w:val="ListParagraph"/>
        <w:numPr>
          <w:ilvl w:val="0"/>
          <w:numId w:val="11"/>
        </w:numPr>
        <w:rPr>
          <w:color w:val="auto"/>
        </w:rPr>
      </w:pPr>
      <w:r w:rsidRPr="005D6C84">
        <w:rPr>
          <w:color w:val="auto"/>
        </w:rPr>
        <w:t>Present your conflict to the Conflict of Interest in Research Committee to develop a custom management plan.</w:t>
      </w:r>
    </w:p>
    <w:p w:rsidR="00CC10BF" w:rsidRPr="00CC10BF" w:rsidRDefault="00CC10BF" w:rsidP="00CC10BF">
      <w:r w:rsidRPr="00CC10BF">
        <w:rPr>
          <w:b/>
        </w:rPr>
        <w:t>What is considered a conflict of interest?</w:t>
      </w:r>
    </w:p>
    <w:p w:rsidR="00CC10BF" w:rsidRDefault="00CC10BF" w:rsidP="00CC10BF">
      <w:r w:rsidRPr="006F2676">
        <w:t>A conflict of interest arises when a covered person has an opportunity</w:t>
      </w:r>
      <w:r>
        <w:t xml:space="preserve"> (or appears to have an opportunity)</w:t>
      </w:r>
      <w:r w:rsidRPr="006F2676">
        <w:t xml:space="preserve"> to influence or bias UNL's business or resear</w:t>
      </w:r>
      <w:r>
        <w:t>ch decisions for personal gain.</w:t>
      </w:r>
    </w:p>
    <w:p w:rsidR="00CC10BF" w:rsidRDefault="00CC10BF" w:rsidP="00CC10BF">
      <w:r>
        <w:t xml:space="preserve">It is important to note that having a conflict of interest is a </w:t>
      </w:r>
      <w:r w:rsidRPr="00CC10BF">
        <w:rPr>
          <w:i/>
        </w:rPr>
        <w:t>situation</w:t>
      </w:r>
      <w:r>
        <w:t xml:space="preserve">. It does not mean that an individual’s </w:t>
      </w:r>
      <w:r w:rsidRPr="00CC10BF">
        <w:rPr>
          <w:i/>
        </w:rPr>
        <w:t>behavior</w:t>
      </w:r>
      <w:r>
        <w:t xml:space="preserve"> is necessarily biased.</w:t>
      </w:r>
    </w:p>
    <w:p w:rsidR="00527272" w:rsidRPr="00527272" w:rsidRDefault="00527272" w:rsidP="00527272">
      <w:pPr>
        <w:rPr>
          <w:b/>
        </w:rPr>
      </w:pPr>
      <w:r w:rsidRPr="00527272">
        <w:rPr>
          <w:b/>
        </w:rPr>
        <w:t>How are conflicts of interest managed?</w:t>
      </w:r>
    </w:p>
    <w:p w:rsidR="00527272" w:rsidRDefault="00915066" w:rsidP="00527272">
      <w:r>
        <w:t>Management plans can include, but are not limited to, disclosure in publications and presentations, internal peer review, or altered student academic supervision.</w:t>
      </w:r>
    </w:p>
    <w:p w:rsidR="008C131B" w:rsidRPr="0019306F" w:rsidRDefault="008C131B" w:rsidP="008C131B">
      <w:pPr>
        <w:rPr>
          <w:b/>
        </w:rPr>
      </w:pPr>
      <w:r w:rsidRPr="0019306F">
        <w:rPr>
          <w:b/>
        </w:rPr>
        <w:t>What should I do if my financial interests change prior to the expiration of my Interest and Outside Activity Reporting Form?</w:t>
      </w:r>
    </w:p>
    <w:p w:rsidR="008C131B" w:rsidRDefault="008C131B" w:rsidP="00527272">
      <w:r>
        <w:t xml:space="preserve">Your IOARF is </w:t>
      </w:r>
      <w:r w:rsidRPr="006F2676">
        <w:t>valid for one year from the approval date. If your financial interests or circumstances change during the annual reporting period, a new I</w:t>
      </w:r>
      <w:r>
        <w:t>OA</w:t>
      </w:r>
      <w:r w:rsidRPr="006F2676">
        <w:t xml:space="preserve">RF </w:t>
      </w:r>
      <w:r>
        <w:t>should</w:t>
      </w:r>
      <w:r w:rsidRPr="006F2676">
        <w:t xml:space="preserve"> be completed to update your disclosure </w:t>
      </w:r>
      <w:r w:rsidRPr="008C131B">
        <w:rPr>
          <w:bCs/>
          <w:i/>
        </w:rPr>
        <w:t>within 30 days</w:t>
      </w:r>
      <w:r w:rsidRPr="006F2676">
        <w:t> of a change in your outside interests. The information from your previous form will be pre-populated so that you may quickly and easily make changes</w:t>
      </w:r>
      <w:r>
        <w:t>.</w:t>
      </w:r>
    </w:p>
    <w:p w:rsidR="008C131B" w:rsidRPr="008C131B" w:rsidRDefault="008C131B" w:rsidP="00527272">
      <w:pPr>
        <w:rPr>
          <w:b/>
        </w:rPr>
      </w:pPr>
      <w:r w:rsidRPr="008C131B">
        <w:rPr>
          <w:b/>
        </w:rPr>
        <w:t>Can a conflict of interest delay or prevent me from doing research?</w:t>
      </w:r>
    </w:p>
    <w:p w:rsidR="008C131B" w:rsidRPr="006F2676" w:rsidRDefault="008C131B" w:rsidP="008C131B">
      <w:r>
        <w:t>Conflicts of interest, when properly disclosed and managed, will not prevent you from conducting research. Delays in the ability to conduct research may occur, however, if you do not complete the IOARF in a timely manner or if you omit relevant interests from the form.</w:t>
      </w:r>
    </w:p>
    <w:p w:rsidR="006F2676" w:rsidRPr="0019306F" w:rsidRDefault="006F2676" w:rsidP="006F2676">
      <w:pPr>
        <w:rPr>
          <w:b/>
        </w:rPr>
      </w:pPr>
      <w:r w:rsidRPr="0019306F">
        <w:rPr>
          <w:b/>
        </w:rPr>
        <w:t>Do I need to complete an Interest Reporting Form even if I do not have any outside interests related to my research activities?</w:t>
      </w:r>
    </w:p>
    <w:p w:rsidR="006F2676" w:rsidRPr="006F2676" w:rsidRDefault="006F2676" w:rsidP="006F2676">
      <w:r w:rsidRPr="006F2676">
        <w:t>Yes.</w:t>
      </w:r>
      <w:r w:rsidR="00CC10BF">
        <w:t xml:space="preserve"> A</w:t>
      </w:r>
      <w:r w:rsidRPr="006F2676">
        <w:t xml:space="preserve">n </w:t>
      </w:r>
      <w:r w:rsidR="00CC10BF">
        <w:t>IOARF</w:t>
      </w:r>
      <w:r w:rsidRPr="006F2676">
        <w:t xml:space="preserve"> must be completed by each individual </w:t>
      </w:r>
      <w:r w:rsidR="00CC10BF">
        <w:t>meeting the description in the first FAQ above</w:t>
      </w:r>
      <w:r w:rsidRPr="006F2676">
        <w:t>, even if they do not have any outside interests to disclose. </w:t>
      </w:r>
    </w:p>
    <w:p w:rsidR="006F2676" w:rsidRDefault="006F2676" w:rsidP="006F2676">
      <w:pPr>
        <w:rPr>
          <w:b/>
        </w:rPr>
      </w:pPr>
      <w:r w:rsidRPr="0019306F">
        <w:rPr>
          <w:b/>
        </w:rPr>
        <w:t>How should individuals that are not affiliated with UNL disclose outside interests?</w:t>
      </w:r>
    </w:p>
    <w:p w:rsidR="00CC10BF" w:rsidRPr="00CC10BF" w:rsidRDefault="00CC10BF" w:rsidP="006F2676">
      <w:r>
        <w:t>Contact Research Compliance Services at (402) 472-6929 to obtain a paper version of the IOARF.</w:t>
      </w:r>
    </w:p>
    <w:p w:rsidR="006F2676" w:rsidRPr="0019306F" w:rsidRDefault="006F2676" w:rsidP="006F2676">
      <w:pPr>
        <w:rPr>
          <w:b/>
        </w:rPr>
      </w:pPr>
      <w:r w:rsidRPr="0019306F">
        <w:rPr>
          <w:b/>
        </w:rPr>
        <w:lastRenderedPageBreak/>
        <w:t xml:space="preserve">Are there penalties for not updating my Interest </w:t>
      </w:r>
      <w:r w:rsidR="0031278F" w:rsidRPr="0019306F">
        <w:rPr>
          <w:b/>
        </w:rPr>
        <w:t xml:space="preserve">and Outside Activity </w:t>
      </w:r>
      <w:r w:rsidRPr="0019306F">
        <w:rPr>
          <w:b/>
        </w:rPr>
        <w:t xml:space="preserve">Reporting Form within 30 days of a change in </w:t>
      </w:r>
      <w:r w:rsidR="00076131">
        <w:rPr>
          <w:b/>
        </w:rPr>
        <w:t xml:space="preserve">financial </w:t>
      </w:r>
      <w:r w:rsidRPr="0019306F">
        <w:rPr>
          <w:b/>
        </w:rPr>
        <w:t>interest</w:t>
      </w:r>
      <w:r w:rsidR="00076131">
        <w:rPr>
          <w:b/>
        </w:rPr>
        <w:t>s</w:t>
      </w:r>
      <w:r w:rsidRPr="0019306F">
        <w:rPr>
          <w:b/>
        </w:rPr>
        <w:t>?</w:t>
      </w:r>
    </w:p>
    <w:p w:rsidR="006F2676" w:rsidRPr="006F2676" w:rsidRDefault="006F2676" w:rsidP="006F2676">
      <w:r w:rsidRPr="006F2676">
        <w:t xml:space="preserve">Maintaining an accurate and up-to-date </w:t>
      </w:r>
      <w:r w:rsidR="00076131">
        <w:t>IOARF</w:t>
      </w:r>
      <w:r w:rsidRPr="006F2676">
        <w:t xml:space="preserve"> is crucial in ensuring that </w:t>
      </w:r>
      <w:r w:rsidR="00076131">
        <w:t xml:space="preserve">UNL complies with state and federal reporting regulations. </w:t>
      </w:r>
      <w:r w:rsidRPr="006F2676">
        <w:t>Failure to update your I</w:t>
      </w:r>
      <w:r w:rsidR="0031278F">
        <w:t>OA</w:t>
      </w:r>
      <w:r w:rsidRPr="006F2676">
        <w:t>RF may result in loss of sponsored research funds and may require the University to conduct a retrospective review of the research to ensure no bias has been introduced into research activities.</w:t>
      </w:r>
    </w:p>
    <w:p w:rsidR="006F2676" w:rsidRPr="006F2676" w:rsidRDefault="00076131" w:rsidP="00076131">
      <w:pPr>
        <w:pStyle w:val="Heading1"/>
      </w:pPr>
      <w:r>
        <w:t>PHS Conflict of Interest Regulation FAQ</w:t>
      </w:r>
    </w:p>
    <w:p w:rsidR="006F2676" w:rsidRPr="00076131" w:rsidRDefault="006F2676" w:rsidP="006F2676">
      <w:pPr>
        <w:rPr>
          <w:b/>
        </w:rPr>
      </w:pPr>
      <w:r w:rsidRPr="00076131">
        <w:rPr>
          <w:b/>
        </w:rPr>
        <w:t>What are PHS awarding agencies?</w:t>
      </w:r>
    </w:p>
    <w:p w:rsidR="006F2676" w:rsidRPr="006F2676" w:rsidRDefault="006F2676" w:rsidP="006F2676">
      <w:r w:rsidRPr="006F2676">
        <w:t>The Public Health Service (PHS) is the primary division of the U.S. Department of Health and Human Services. It administers the following agencies: </w:t>
      </w:r>
    </w:p>
    <w:p w:rsidR="006F2676" w:rsidRDefault="006F2676" w:rsidP="00076131">
      <w:pPr>
        <w:numPr>
          <w:ilvl w:val="0"/>
          <w:numId w:val="6"/>
        </w:numPr>
      </w:pPr>
      <w:r w:rsidRPr="006F2676">
        <w:t>National Institutes of Health</w:t>
      </w:r>
      <w:r w:rsidR="00076131">
        <w:rPr>
          <w:vertAlign w:val="superscript"/>
        </w:rPr>
        <w:t xml:space="preserve"> </w:t>
      </w:r>
      <w:r w:rsidRPr="006F2676">
        <w:t>(NIH)</w:t>
      </w:r>
    </w:p>
    <w:p w:rsidR="000E6A5A" w:rsidRDefault="000E6A5A" w:rsidP="000E6A5A">
      <w:pPr>
        <w:numPr>
          <w:ilvl w:val="1"/>
          <w:numId w:val="6"/>
        </w:numPr>
      </w:pPr>
      <w:r>
        <w:t>National Cancer Center Institute (NCI)</w:t>
      </w:r>
    </w:p>
    <w:p w:rsidR="000E6A5A" w:rsidRDefault="000E6A5A" w:rsidP="000E6A5A">
      <w:pPr>
        <w:numPr>
          <w:ilvl w:val="1"/>
          <w:numId w:val="6"/>
        </w:numPr>
      </w:pPr>
      <w:r>
        <w:t>National Eye Institute (NEI)</w:t>
      </w:r>
    </w:p>
    <w:p w:rsidR="000E6A5A" w:rsidRDefault="000E6A5A" w:rsidP="000E6A5A">
      <w:pPr>
        <w:numPr>
          <w:ilvl w:val="1"/>
          <w:numId w:val="6"/>
        </w:numPr>
      </w:pPr>
      <w:r>
        <w:t>National Heart, Lung and Blood Institute (NHLBI)</w:t>
      </w:r>
    </w:p>
    <w:p w:rsidR="000E6A5A" w:rsidRDefault="000E6A5A" w:rsidP="000E6A5A">
      <w:pPr>
        <w:numPr>
          <w:ilvl w:val="1"/>
          <w:numId w:val="6"/>
        </w:numPr>
      </w:pPr>
      <w:r>
        <w:t>National Genome Research Institute (NHGRI)</w:t>
      </w:r>
    </w:p>
    <w:p w:rsidR="000E6A5A" w:rsidRDefault="000E6A5A" w:rsidP="000E6A5A">
      <w:pPr>
        <w:numPr>
          <w:ilvl w:val="1"/>
          <w:numId w:val="6"/>
        </w:numPr>
      </w:pPr>
      <w:r>
        <w:t>National Institute on Aging (NIA)</w:t>
      </w:r>
    </w:p>
    <w:p w:rsidR="000E6A5A" w:rsidRDefault="000E6A5A" w:rsidP="000E6A5A">
      <w:pPr>
        <w:numPr>
          <w:ilvl w:val="1"/>
          <w:numId w:val="6"/>
        </w:numPr>
      </w:pPr>
      <w:r>
        <w:t>National Institute on Alcohol Abuse and Alcoholism (NIAAA)</w:t>
      </w:r>
    </w:p>
    <w:p w:rsidR="000E6A5A" w:rsidRDefault="000E6A5A" w:rsidP="000E6A5A">
      <w:pPr>
        <w:numPr>
          <w:ilvl w:val="1"/>
          <w:numId w:val="6"/>
        </w:numPr>
      </w:pPr>
      <w:r>
        <w:t>National Institute of Allergy and Infectious Diseases (NIAID)</w:t>
      </w:r>
    </w:p>
    <w:p w:rsidR="000E6A5A" w:rsidRDefault="000E6A5A" w:rsidP="000E6A5A">
      <w:pPr>
        <w:numPr>
          <w:ilvl w:val="1"/>
          <w:numId w:val="6"/>
        </w:numPr>
      </w:pPr>
      <w:r>
        <w:t>National Institute of Arthritis &amp; Musculoskeletal and Skin Diseases (NIAMS)</w:t>
      </w:r>
    </w:p>
    <w:p w:rsidR="000E6A5A" w:rsidRDefault="000E6A5A" w:rsidP="000E6A5A">
      <w:pPr>
        <w:numPr>
          <w:ilvl w:val="1"/>
          <w:numId w:val="6"/>
        </w:numPr>
      </w:pPr>
      <w:r>
        <w:t>National Institute of Biomedical Imaging and Bioengineering (NBIB)</w:t>
      </w:r>
    </w:p>
    <w:p w:rsidR="000E6A5A" w:rsidRDefault="000E6A5A" w:rsidP="000E6A5A">
      <w:pPr>
        <w:numPr>
          <w:ilvl w:val="1"/>
          <w:numId w:val="6"/>
        </w:numPr>
      </w:pPr>
      <w:r>
        <w:t>National Institute of Child Health and Human Development (NICHD)</w:t>
      </w:r>
    </w:p>
    <w:p w:rsidR="000E6A5A" w:rsidRDefault="000E6A5A" w:rsidP="000E6A5A">
      <w:pPr>
        <w:numPr>
          <w:ilvl w:val="1"/>
          <w:numId w:val="6"/>
        </w:numPr>
      </w:pPr>
      <w:r>
        <w:t>National Institute on Deafness and Other Communication Disorders (NIDCD)</w:t>
      </w:r>
    </w:p>
    <w:p w:rsidR="000E6A5A" w:rsidRDefault="000E6A5A" w:rsidP="000E6A5A">
      <w:pPr>
        <w:numPr>
          <w:ilvl w:val="1"/>
          <w:numId w:val="6"/>
        </w:numPr>
      </w:pPr>
      <w:r>
        <w:t>National Institute of Dental and Craniofacial Research (NIDCR)</w:t>
      </w:r>
    </w:p>
    <w:p w:rsidR="000E6A5A" w:rsidRDefault="000E6A5A" w:rsidP="000E6A5A">
      <w:pPr>
        <w:numPr>
          <w:ilvl w:val="1"/>
          <w:numId w:val="6"/>
        </w:numPr>
      </w:pPr>
      <w:r>
        <w:t>National Institute of Diabetes and Digestive and Kidney Diseases (NIDDK)</w:t>
      </w:r>
    </w:p>
    <w:p w:rsidR="000E6A5A" w:rsidRDefault="000E6A5A" w:rsidP="000E6A5A">
      <w:pPr>
        <w:numPr>
          <w:ilvl w:val="1"/>
          <w:numId w:val="6"/>
        </w:numPr>
      </w:pPr>
      <w:r>
        <w:t>National Institute on Drug Abuse (NIDA)</w:t>
      </w:r>
    </w:p>
    <w:p w:rsidR="000E6A5A" w:rsidRDefault="000E6A5A" w:rsidP="000E6A5A">
      <w:pPr>
        <w:numPr>
          <w:ilvl w:val="1"/>
          <w:numId w:val="6"/>
        </w:numPr>
      </w:pPr>
      <w:r>
        <w:t>National Institute of Environmental Health Sciences (NIEHS)</w:t>
      </w:r>
    </w:p>
    <w:p w:rsidR="000E6A5A" w:rsidRDefault="000E6A5A" w:rsidP="000E6A5A">
      <w:pPr>
        <w:numPr>
          <w:ilvl w:val="1"/>
          <w:numId w:val="6"/>
        </w:numPr>
      </w:pPr>
      <w:r>
        <w:t>National Institute of General Medical Sciences (NIGMS)</w:t>
      </w:r>
    </w:p>
    <w:p w:rsidR="000E6A5A" w:rsidRDefault="000E6A5A" w:rsidP="000E6A5A">
      <w:pPr>
        <w:numPr>
          <w:ilvl w:val="1"/>
          <w:numId w:val="6"/>
        </w:numPr>
      </w:pPr>
      <w:r>
        <w:t>National Institute of Mental Health (NIMH)</w:t>
      </w:r>
    </w:p>
    <w:p w:rsidR="000E6A5A" w:rsidRDefault="000E6A5A" w:rsidP="000E6A5A">
      <w:pPr>
        <w:numPr>
          <w:ilvl w:val="1"/>
          <w:numId w:val="6"/>
        </w:numPr>
      </w:pPr>
      <w:r>
        <w:t>National Institute on Minority Health and Health Disparities (NIMHD)</w:t>
      </w:r>
    </w:p>
    <w:p w:rsidR="000E6A5A" w:rsidRDefault="000E6A5A" w:rsidP="000E6A5A">
      <w:pPr>
        <w:numPr>
          <w:ilvl w:val="1"/>
          <w:numId w:val="6"/>
        </w:numPr>
      </w:pPr>
      <w:r>
        <w:lastRenderedPageBreak/>
        <w:t>National Institute of Neurological Disorders and Stroke (NINDS)</w:t>
      </w:r>
    </w:p>
    <w:p w:rsidR="000E6A5A" w:rsidRDefault="000E6A5A" w:rsidP="000E6A5A">
      <w:pPr>
        <w:numPr>
          <w:ilvl w:val="1"/>
          <w:numId w:val="6"/>
        </w:numPr>
      </w:pPr>
      <w:r>
        <w:t>National Institute of Nursing Research (NINR)</w:t>
      </w:r>
    </w:p>
    <w:p w:rsidR="000E6A5A" w:rsidRPr="006F2676" w:rsidRDefault="000E6A5A" w:rsidP="000E6A5A">
      <w:pPr>
        <w:numPr>
          <w:ilvl w:val="1"/>
          <w:numId w:val="6"/>
        </w:numPr>
      </w:pPr>
      <w:r>
        <w:t xml:space="preserve">National </w:t>
      </w:r>
      <w:proofErr w:type="spellStart"/>
      <w:r>
        <w:t>Libraryy</w:t>
      </w:r>
      <w:proofErr w:type="spellEnd"/>
      <w:r>
        <w:t xml:space="preserve"> of Medicine (NLM)</w:t>
      </w:r>
    </w:p>
    <w:p w:rsidR="006F2676" w:rsidRPr="006F2676" w:rsidRDefault="006F2676" w:rsidP="00076131">
      <w:pPr>
        <w:numPr>
          <w:ilvl w:val="0"/>
          <w:numId w:val="6"/>
        </w:numPr>
      </w:pPr>
      <w:r w:rsidRPr="006F2676">
        <w:t>Food and Drug Administration (FDA)</w:t>
      </w:r>
    </w:p>
    <w:p w:rsidR="006F2676" w:rsidRPr="006F2676" w:rsidRDefault="006F2676" w:rsidP="00076131">
      <w:pPr>
        <w:numPr>
          <w:ilvl w:val="0"/>
          <w:numId w:val="6"/>
        </w:numPr>
      </w:pPr>
      <w:r w:rsidRPr="006F2676">
        <w:t>Centers for Disease Control and Prevention (CDC)</w:t>
      </w:r>
    </w:p>
    <w:p w:rsidR="006F2676" w:rsidRPr="006F2676" w:rsidRDefault="006F2676" w:rsidP="00076131">
      <w:pPr>
        <w:numPr>
          <w:ilvl w:val="0"/>
          <w:numId w:val="6"/>
        </w:numPr>
      </w:pPr>
      <w:r w:rsidRPr="006F2676">
        <w:t>Indian Health Services (HIS)</w:t>
      </w:r>
    </w:p>
    <w:p w:rsidR="006F2676" w:rsidRPr="006F2676" w:rsidRDefault="006F2676" w:rsidP="00076131">
      <w:pPr>
        <w:numPr>
          <w:ilvl w:val="0"/>
          <w:numId w:val="6"/>
        </w:numPr>
      </w:pPr>
      <w:r w:rsidRPr="006F2676">
        <w:t>Health Resources and Services Administration (HRSA)</w:t>
      </w:r>
    </w:p>
    <w:p w:rsidR="006F2676" w:rsidRPr="006F2676" w:rsidRDefault="006F2676" w:rsidP="00076131">
      <w:pPr>
        <w:numPr>
          <w:ilvl w:val="0"/>
          <w:numId w:val="6"/>
        </w:numPr>
      </w:pPr>
      <w:r w:rsidRPr="006F2676">
        <w:t>Substance Abuse and Mental Health Services Administration (SAMHSA)</w:t>
      </w:r>
    </w:p>
    <w:p w:rsidR="006F2676" w:rsidRPr="006F2676" w:rsidRDefault="006F2676" w:rsidP="006F2676">
      <w:pPr>
        <w:numPr>
          <w:ilvl w:val="0"/>
          <w:numId w:val="6"/>
        </w:numPr>
      </w:pPr>
      <w:r w:rsidRPr="006F2676">
        <w:t>Agency for Healthcare Research and Quality (AHRQ)</w:t>
      </w:r>
    </w:p>
    <w:p w:rsidR="006F2676" w:rsidRPr="00D00C8D" w:rsidRDefault="006F2676" w:rsidP="006F2676">
      <w:pPr>
        <w:rPr>
          <w:b/>
        </w:rPr>
      </w:pPr>
      <w:r w:rsidRPr="00D00C8D">
        <w:rPr>
          <w:b/>
        </w:rPr>
        <w:t>What additional conflict of interest requirements exist for PHS-funded research?</w:t>
      </w:r>
    </w:p>
    <w:p w:rsidR="00076131" w:rsidRPr="005D6C84" w:rsidRDefault="00076131" w:rsidP="00076131">
      <w:pPr>
        <w:pStyle w:val="ListParagraph"/>
        <w:numPr>
          <w:ilvl w:val="0"/>
          <w:numId w:val="12"/>
        </w:numPr>
        <w:rPr>
          <w:color w:val="auto"/>
        </w:rPr>
      </w:pPr>
      <w:r w:rsidRPr="005D6C84">
        <w:rPr>
          <w:b/>
          <w:color w:val="auto"/>
        </w:rPr>
        <w:t xml:space="preserve">Expanded definition of </w:t>
      </w:r>
      <w:r w:rsidRPr="005D6C84">
        <w:rPr>
          <w:b/>
          <w:i/>
          <w:color w:val="auto"/>
        </w:rPr>
        <w:t>investigator</w:t>
      </w:r>
      <w:r w:rsidRPr="005D6C84">
        <w:rPr>
          <w:color w:val="auto"/>
        </w:rPr>
        <w:t xml:space="preserve"> – PHS now defines an </w:t>
      </w:r>
      <w:r w:rsidRPr="005D6C84">
        <w:rPr>
          <w:i/>
          <w:color w:val="auto"/>
        </w:rPr>
        <w:t>investigator</w:t>
      </w:r>
      <w:r w:rsidRPr="005D6C84">
        <w:rPr>
          <w:color w:val="auto"/>
        </w:rPr>
        <w:t xml:space="preserve"> as ‘the project director or principal Investigator and any other person, regardless of title or position, who is responsible for the design, conduct, or reporting of research funded by the PHS, or proposed for such funding, which may include, for example, collaborators or consultants.’</w:t>
      </w:r>
    </w:p>
    <w:p w:rsidR="00076131" w:rsidRPr="005D6C84" w:rsidRDefault="00076131" w:rsidP="00076131">
      <w:pPr>
        <w:pStyle w:val="ListParagraph"/>
        <w:numPr>
          <w:ilvl w:val="0"/>
          <w:numId w:val="12"/>
        </w:numPr>
        <w:rPr>
          <w:color w:val="auto"/>
        </w:rPr>
      </w:pPr>
      <w:r w:rsidRPr="005D6C84">
        <w:rPr>
          <w:b/>
          <w:color w:val="auto"/>
        </w:rPr>
        <w:t xml:space="preserve">Timeframe for disclosure </w:t>
      </w:r>
      <w:r w:rsidRPr="005D6C84">
        <w:rPr>
          <w:color w:val="auto"/>
        </w:rPr>
        <w:t xml:space="preserve">- To comply with the new regulation, </w:t>
      </w:r>
      <w:r w:rsidRPr="005D6C84">
        <w:rPr>
          <w:i/>
          <w:color w:val="auto"/>
        </w:rPr>
        <w:t>all investigators</w:t>
      </w:r>
      <w:r w:rsidRPr="005D6C84">
        <w:rPr>
          <w:color w:val="auto"/>
        </w:rPr>
        <w:t xml:space="preserve"> must complete the IOARF </w:t>
      </w:r>
      <w:r w:rsidRPr="005D6C84">
        <w:rPr>
          <w:i/>
          <w:color w:val="auto"/>
        </w:rPr>
        <w:t>by the time of submitting proposals</w:t>
      </w:r>
      <w:r w:rsidRPr="005D6C84">
        <w:rPr>
          <w:color w:val="auto"/>
        </w:rPr>
        <w:t xml:space="preserve"> for all PHS-funded research. It is the principal investigator’s responsibility to identify all </w:t>
      </w:r>
      <w:r w:rsidRPr="005D6C84">
        <w:rPr>
          <w:i/>
          <w:color w:val="auto"/>
        </w:rPr>
        <w:t>investigators</w:t>
      </w:r>
      <w:r w:rsidRPr="005D6C84">
        <w:rPr>
          <w:color w:val="auto"/>
        </w:rPr>
        <w:t xml:space="preserve"> on the grant prior to submission and submit that list to their grant coordinator. Should an award be made, it is the principal investigator’s responsibility to ensure that the list is kept current during the life of the grant. Any changes must be sent to their post award coordinator.</w:t>
      </w:r>
    </w:p>
    <w:p w:rsidR="00076131" w:rsidRPr="005D6C84" w:rsidRDefault="00076131" w:rsidP="00076131">
      <w:pPr>
        <w:pStyle w:val="ListParagraph"/>
        <w:numPr>
          <w:ilvl w:val="0"/>
          <w:numId w:val="12"/>
        </w:numPr>
        <w:rPr>
          <w:color w:val="auto"/>
        </w:rPr>
      </w:pPr>
      <w:r w:rsidRPr="005D6C84">
        <w:rPr>
          <w:b/>
          <w:color w:val="auto"/>
        </w:rPr>
        <w:t xml:space="preserve">Required conflict of interest training </w:t>
      </w:r>
      <w:r w:rsidRPr="005D6C84">
        <w:rPr>
          <w:color w:val="auto"/>
        </w:rPr>
        <w:t>– All PHS investigators must complete mandatory train</w:t>
      </w:r>
      <w:r w:rsidR="0063469F" w:rsidRPr="005D6C84">
        <w:rPr>
          <w:color w:val="auto"/>
        </w:rPr>
        <w:t>ing on conflict of interest prior to engaging in PHS-funded research</w:t>
      </w:r>
      <w:r w:rsidRPr="005D6C84">
        <w:rPr>
          <w:color w:val="auto"/>
        </w:rPr>
        <w:t xml:space="preserve">. The IOARF will prompt investigators to take the NIH training at </w:t>
      </w:r>
      <w:hyperlink r:id="rId7" w:history="1">
        <w:r w:rsidRPr="005D6C84">
          <w:rPr>
            <w:rStyle w:val="Hyperlink"/>
            <w:color w:val="365F91" w:themeColor="accent1" w:themeShade="BF"/>
          </w:rPr>
          <w:t>http://grants.nih.gov/grants/policy/coi/tutorial2011/fcoi.htm</w:t>
        </w:r>
      </w:hyperlink>
      <w:r w:rsidRPr="005D6C84">
        <w:rPr>
          <w:color w:val="365F91" w:themeColor="accent1" w:themeShade="BF"/>
        </w:rPr>
        <w:t xml:space="preserve">. </w:t>
      </w:r>
      <w:r w:rsidRPr="005D6C84">
        <w:rPr>
          <w:color w:val="auto"/>
        </w:rPr>
        <w:t>They will then attach their completion certificate to the IOARF.</w:t>
      </w:r>
      <w:r w:rsidR="0063469F" w:rsidRPr="005D6C84">
        <w:rPr>
          <w:color w:val="auto"/>
        </w:rPr>
        <w:t xml:space="preserve"> Training must be completed every 4 years.</w:t>
      </w:r>
    </w:p>
    <w:p w:rsidR="00076131" w:rsidRPr="005D6C84" w:rsidRDefault="00076131" w:rsidP="00076131">
      <w:pPr>
        <w:pStyle w:val="ListParagraph"/>
        <w:numPr>
          <w:ilvl w:val="0"/>
          <w:numId w:val="12"/>
        </w:numPr>
        <w:rPr>
          <w:color w:val="auto"/>
        </w:rPr>
      </w:pPr>
      <w:r w:rsidRPr="005D6C84">
        <w:rPr>
          <w:b/>
          <w:color w:val="auto"/>
        </w:rPr>
        <w:t xml:space="preserve">Disclosure of sponsored/reimbursed travel </w:t>
      </w:r>
      <w:r w:rsidRPr="005D6C84">
        <w:rPr>
          <w:color w:val="auto"/>
        </w:rPr>
        <w:t xml:space="preserve">– PHS now requires that some sponsored or reimbursed travel be disclosed on the IOARF </w:t>
      </w:r>
      <w:r w:rsidRPr="005D6C84">
        <w:rPr>
          <w:i/>
          <w:color w:val="auto"/>
        </w:rPr>
        <w:t>no later than 30 days after the travel has occurred</w:t>
      </w:r>
      <w:r w:rsidRPr="005D6C84">
        <w:rPr>
          <w:color w:val="auto"/>
        </w:rPr>
        <w:t>. Some exceptions apply. Investigators do not need to disclose:</w:t>
      </w:r>
    </w:p>
    <w:p w:rsidR="00076131" w:rsidRPr="005D6C84" w:rsidRDefault="00076131" w:rsidP="00076131">
      <w:pPr>
        <w:pStyle w:val="ListParagraph"/>
        <w:numPr>
          <w:ilvl w:val="1"/>
          <w:numId w:val="12"/>
        </w:numPr>
        <w:rPr>
          <w:color w:val="auto"/>
        </w:rPr>
      </w:pPr>
      <w:r w:rsidRPr="005D6C84">
        <w:rPr>
          <w:color w:val="auto"/>
        </w:rPr>
        <w:t>Travel sponsored by:</w:t>
      </w:r>
    </w:p>
    <w:p w:rsidR="00076131" w:rsidRPr="005D6C84" w:rsidRDefault="00076131" w:rsidP="00076131">
      <w:pPr>
        <w:pStyle w:val="ListParagraph"/>
        <w:numPr>
          <w:ilvl w:val="2"/>
          <w:numId w:val="12"/>
        </w:numPr>
        <w:rPr>
          <w:color w:val="auto"/>
        </w:rPr>
      </w:pPr>
      <w:r w:rsidRPr="005D6C84">
        <w:rPr>
          <w:color w:val="auto"/>
        </w:rPr>
        <w:t>A federal, state, or local government agency</w:t>
      </w:r>
    </w:p>
    <w:p w:rsidR="00076131" w:rsidRPr="005D6C84" w:rsidRDefault="00076131" w:rsidP="00076131">
      <w:pPr>
        <w:pStyle w:val="ListParagraph"/>
        <w:numPr>
          <w:ilvl w:val="2"/>
          <w:numId w:val="12"/>
        </w:numPr>
        <w:rPr>
          <w:color w:val="auto"/>
        </w:rPr>
      </w:pPr>
      <w:r w:rsidRPr="005D6C84">
        <w:rPr>
          <w:color w:val="auto"/>
        </w:rPr>
        <w:t>US institution of higher education, an academic teaching hospital, a medical center, or a research institute that is affiliated with a US institution of higher learning</w:t>
      </w:r>
    </w:p>
    <w:p w:rsidR="00076131" w:rsidRPr="005D6C84" w:rsidRDefault="00076131" w:rsidP="00076131">
      <w:pPr>
        <w:pStyle w:val="ListParagraph"/>
        <w:numPr>
          <w:ilvl w:val="1"/>
          <w:numId w:val="12"/>
        </w:numPr>
        <w:rPr>
          <w:color w:val="auto"/>
        </w:rPr>
      </w:pPr>
      <w:r w:rsidRPr="005D6C84">
        <w:rPr>
          <w:color w:val="auto"/>
        </w:rPr>
        <w:t>Travel that is included in a grant/project proposal that is administered by UNL’s Office of Sponsored Programs</w:t>
      </w:r>
    </w:p>
    <w:p w:rsidR="00D00C8D" w:rsidRPr="005D6C84" w:rsidRDefault="00D00C8D" w:rsidP="00D00C8D">
      <w:pPr>
        <w:pStyle w:val="ListParagraph"/>
        <w:numPr>
          <w:ilvl w:val="0"/>
          <w:numId w:val="12"/>
        </w:numPr>
        <w:rPr>
          <w:color w:val="auto"/>
        </w:rPr>
      </w:pPr>
      <w:r w:rsidRPr="005D6C84">
        <w:rPr>
          <w:b/>
          <w:color w:val="auto"/>
        </w:rPr>
        <w:t>Public accessibility requirement</w:t>
      </w:r>
      <w:r w:rsidRPr="005D6C84">
        <w:rPr>
          <w:color w:val="auto"/>
        </w:rPr>
        <w:t xml:space="preserve"> – Identified financial conflicts of interest held by senior/key personnel must be made publicly available within 5 business days of receiving a written request for such information.</w:t>
      </w:r>
    </w:p>
    <w:p w:rsidR="00B97733" w:rsidRDefault="005D6C84"/>
    <w:sectPr w:rsidR="00B97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7C3"/>
    <w:multiLevelType w:val="hybridMultilevel"/>
    <w:tmpl w:val="7F3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D703C"/>
    <w:multiLevelType w:val="multilevel"/>
    <w:tmpl w:val="EC54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83160F"/>
    <w:multiLevelType w:val="multilevel"/>
    <w:tmpl w:val="D326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353043"/>
    <w:multiLevelType w:val="multilevel"/>
    <w:tmpl w:val="7024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D71593"/>
    <w:multiLevelType w:val="multilevel"/>
    <w:tmpl w:val="AB06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F20251"/>
    <w:multiLevelType w:val="hybridMultilevel"/>
    <w:tmpl w:val="24CC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DC06BE"/>
    <w:multiLevelType w:val="multilevel"/>
    <w:tmpl w:val="99BC3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6B2A8B"/>
    <w:multiLevelType w:val="hybridMultilevel"/>
    <w:tmpl w:val="9BFCA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800F0"/>
    <w:multiLevelType w:val="multilevel"/>
    <w:tmpl w:val="85C0C0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BA10EF"/>
    <w:multiLevelType w:val="hybridMultilevel"/>
    <w:tmpl w:val="AC0A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1977D6"/>
    <w:multiLevelType w:val="multilevel"/>
    <w:tmpl w:val="85C0C0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331BC1"/>
    <w:multiLevelType w:val="multilevel"/>
    <w:tmpl w:val="D272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8"/>
  </w:num>
  <w:num w:numId="3">
    <w:abstractNumId w:val="3"/>
  </w:num>
  <w:num w:numId="4">
    <w:abstractNumId w:val="1"/>
  </w:num>
  <w:num w:numId="5">
    <w:abstractNumId w:val="11"/>
  </w:num>
  <w:num w:numId="6">
    <w:abstractNumId w:val="6"/>
  </w:num>
  <w:num w:numId="7">
    <w:abstractNumId w:val="4"/>
  </w:num>
  <w:num w:numId="8">
    <w:abstractNumId w:val="5"/>
  </w:num>
  <w:num w:numId="9">
    <w:abstractNumId w:val="9"/>
  </w:num>
  <w:num w:numId="10">
    <w:abstractNumId w:val="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676"/>
    <w:rsid w:val="00076131"/>
    <w:rsid w:val="0009362E"/>
    <w:rsid w:val="000E6A5A"/>
    <w:rsid w:val="0019306F"/>
    <w:rsid w:val="001F2D81"/>
    <w:rsid w:val="00224354"/>
    <w:rsid w:val="002D74D6"/>
    <w:rsid w:val="0031278F"/>
    <w:rsid w:val="004D2F9F"/>
    <w:rsid w:val="00527272"/>
    <w:rsid w:val="005D6C84"/>
    <w:rsid w:val="00603416"/>
    <w:rsid w:val="0063469F"/>
    <w:rsid w:val="00686F29"/>
    <w:rsid w:val="006C0A40"/>
    <w:rsid w:val="006F2676"/>
    <w:rsid w:val="007A4489"/>
    <w:rsid w:val="008C131B"/>
    <w:rsid w:val="0091044A"/>
    <w:rsid w:val="00915066"/>
    <w:rsid w:val="00932389"/>
    <w:rsid w:val="00957135"/>
    <w:rsid w:val="00977455"/>
    <w:rsid w:val="009F1278"/>
    <w:rsid w:val="00A07E60"/>
    <w:rsid w:val="00B31462"/>
    <w:rsid w:val="00B7611E"/>
    <w:rsid w:val="00BF7238"/>
    <w:rsid w:val="00CC10BF"/>
    <w:rsid w:val="00D00C8D"/>
    <w:rsid w:val="00D153FF"/>
    <w:rsid w:val="00E031BD"/>
    <w:rsid w:val="00E36080"/>
    <w:rsid w:val="00F26B27"/>
    <w:rsid w:val="00F471EE"/>
    <w:rsid w:val="00F6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C84"/>
    <w:pPr>
      <w:spacing w:after="180" w:line="274" w:lineRule="auto"/>
    </w:pPr>
    <w:rPr>
      <w:sz w:val="21"/>
    </w:rPr>
  </w:style>
  <w:style w:type="paragraph" w:styleId="Heading1">
    <w:name w:val="heading 1"/>
    <w:basedOn w:val="Normal"/>
    <w:next w:val="Normal"/>
    <w:link w:val="Heading1Char"/>
    <w:uiPriority w:val="9"/>
    <w:qFormat/>
    <w:rsid w:val="005D6C84"/>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semiHidden/>
    <w:unhideWhenUsed/>
    <w:qFormat/>
    <w:rsid w:val="005D6C84"/>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5D6C84"/>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5D6C84"/>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5D6C84"/>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5D6C84"/>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5D6C84"/>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5D6C84"/>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5D6C84"/>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676"/>
    <w:rPr>
      <w:color w:val="0000FF" w:themeColor="hyperlink"/>
      <w:u w:val="single"/>
    </w:rPr>
  </w:style>
  <w:style w:type="character" w:styleId="CommentReference">
    <w:name w:val="annotation reference"/>
    <w:basedOn w:val="DefaultParagraphFont"/>
    <w:uiPriority w:val="99"/>
    <w:semiHidden/>
    <w:unhideWhenUsed/>
    <w:rsid w:val="00B7611E"/>
    <w:rPr>
      <w:sz w:val="16"/>
      <w:szCs w:val="16"/>
    </w:rPr>
  </w:style>
  <w:style w:type="paragraph" w:styleId="CommentText">
    <w:name w:val="annotation text"/>
    <w:basedOn w:val="Normal"/>
    <w:link w:val="CommentTextChar"/>
    <w:uiPriority w:val="99"/>
    <w:semiHidden/>
    <w:unhideWhenUsed/>
    <w:rsid w:val="00B7611E"/>
    <w:pPr>
      <w:spacing w:line="240" w:lineRule="auto"/>
    </w:pPr>
    <w:rPr>
      <w:sz w:val="20"/>
      <w:szCs w:val="20"/>
    </w:rPr>
  </w:style>
  <w:style w:type="character" w:customStyle="1" w:styleId="CommentTextChar">
    <w:name w:val="Comment Text Char"/>
    <w:basedOn w:val="DefaultParagraphFont"/>
    <w:link w:val="CommentText"/>
    <w:uiPriority w:val="99"/>
    <w:semiHidden/>
    <w:rsid w:val="00B7611E"/>
    <w:rPr>
      <w:sz w:val="20"/>
      <w:szCs w:val="20"/>
    </w:rPr>
  </w:style>
  <w:style w:type="paragraph" w:styleId="CommentSubject">
    <w:name w:val="annotation subject"/>
    <w:basedOn w:val="CommentText"/>
    <w:next w:val="CommentText"/>
    <w:link w:val="CommentSubjectChar"/>
    <w:uiPriority w:val="99"/>
    <w:semiHidden/>
    <w:unhideWhenUsed/>
    <w:rsid w:val="00B7611E"/>
    <w:rPr>
      <w:b/>
      <w:bCs/>
    </w:rPr>
  </w:style>
  <w:style w:type="character" w:customStyle="1" w:styleId="CommentSubjectChar">
    <w:name w:val="Comment Subject Char"/>
    <w:basedOn w:val="CommentTextChar"/>
    <w:link w:val="CommentSubject"/>
    <w:uiPriority w:val="99"/>
    <w:semiHidden/>
    <w:rsid w:val="00B7611E"/>
    <w:rPr>
      <w:b/>
      <w:bCs/>
      <w:sz w:val="20"/>
      <w:szCs w:val="20"/>
    </w:rPr>
  </w:style>
  <w:style w:type="paragraph" w:styleId="BalloonText">
    <w:name w:val="Balloon Text"/>
    <w:basedOn w:val="Normal"/>
    <w:link w:val="BalloonTextChar"/>
    <w:uiPriority w:val="99"/>
    <w:semiHidden/>
    <w:unhideWhenUsed/>
    <w:rsid w:val="00B76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11E"/>
    <w:rPr>
      <w:rFonts w:ascii="Tahoma" w:hAnsi="Tahoma" w:cs="Tahoma"/>
      <w:sz w:val="16"/>
      <w:szCs w:val="16"/>
    </w:rPr>
  </w:style>
  <w:style w:type="paragraph" w:styleId="ListParagraph">
    <w:name w:val="List Paragraph"/>
    <w:basedOn w:val="Normal"/>
    <w:uiPriority w:val="34"/>
    <w:qFormat/>
    <w:rsid w:val="005D6C84"/>
    <w:pPr>
      <w:spacing w:line="240" w:lineRule="auto"/>
      <w:ind w:left="720" w:hanging="288"/>
      <w:contextualSpacing/>
    </w:pPr>
    <w:rPr>
      <w:color w:val="1F497D" w:themeColor="text2"/>
    </w:rPr>
  </w:style>
  <w:style w:type="character" w:customStyle="1" w:styleId="Heading1Char">
    <w:name w:val="Heading 1 Char"/>
    <w:basedOn w:val="DefaultParagraphFont"/>
    <w:link w:val="Heading1"/>
    <w:uiPriority w:val="9"/>
    <w:rsid w:val="005D6C84"/>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semiHidden/>
    <w:rsid w:val="005D6C84"/>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semiHidden/>
    <w:rsid w:val="005D6C84"/>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5D6C84"/>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5D6C84"/>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5D6C84"/>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5D6C84"/>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5D6C84"/>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5D6C84"/>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5D6C84"/>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5D6C84"/>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5D6C84"/>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5D6C84"/>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5D6C84"/>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5D6C84"/>
    <w:rPr>
      <w:b w:val="0"/>
      <w:bCs/>
      <w:i/>
      <w:color w:val="1F497D" w:themeColor="text2"/>
    </w:rPr>
  </w:style>
  <w:style w:type="character" w:styleId="Emphasis">
    <w:name w:val="Emphasis"/>
    <w:basedOn w:val="DefaultParagraphFont"/>
    <w:uiPriority w:val="20"/>
    <w:qFormat/>
    <w:rsid w:val="005D6C84"/>
    <w:rPr>
      <w:b/>
      <w:i/>
      <w:iCs/>
    </w:rPr>
  </w:style>
  <w:style w:type="paragraph" w:styleId="NoSpacing">
    <w:name w:val="No Spacing"/>
    <w:link w:val="NoSpacingChar"/>
    <w:uiPriority w:val="1"/>
    <w:qFormat/>
    <w:rsid w:val="005D6C84"/>
    <w:pPr>
      <w:spacing w:after="0" w:line="240" w:lineRule="auto"/>
    </w:pPr>
  </w:style>
  <w:style w:type="character" w:customStyle="1" w:styleId="NoSpacingChar">
    <w:name w:val="No Spacing Char"/>
    <w:basedOn w:val="DefaultParagraphFont"/>
    <w:link w:val="NoSpacing"/>
    <w:uiPriority w:val="1"/>
    <w:rsid w:val="005D6C84"/>
  </w:style>
  <w:style w:type="paragraph" w:styleId="Quote">
    <w:name w:val="Quote"/>
    <w:basedOn w:val="Normal"/>
    <w:next w:val="Normal"/>
    <w:link w:val="QuoteChar"/>
    <w:uiPriority w:val="29"/>
    <w:qFormat/>
    <w:rsid w:val="005D6C84"/>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5D6C84"/>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5D6C84"/>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5D6C84"/>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5D6C84"/>
    <w:rPr>
      <w:i/>
      <w:iCs/>
      <w:color w:val="000000"/>
    </w:rPr>
  </w:style>
  <w:style w:type="character" w:styleId="IntenseEmphasis">
    <w:name w:val="Intense Emphasis"/>
    <w:basedOn w:val="DefaultParagraphFont"/>
    <w:uiPriority w:val="21"/>
    <w:qFormat/>
    <w:rsid w:val="005D6C84"/>
    <w:rPr>
      <w:b/>
      <w:bCs/>
      <w:i/>
      <w:iCs/>
      <w:color w:val="4F81BD" w:themeColor="accent1"/>
    </w:rPr>
  </w:style>
  <w:style w:type="character" w:styleId="SubtleReference">
    <w:name w:val="Subtle Reference"/>
    <w:basedOn w:val="DefaultParagraphFont"/>
    <w:uiPriority w:val="31"/>
    <w:qFormat/>
    <w:rsid w:val="005D6C84"/>
    <w:rPr>
      <w:smallCaps/>
      <w:color w:val="000000"/>
      <w:u w:val="single"/>
    </w:rPr>
  </w:style>
  <w:style w:type="character" w:styleId="IntenseReference">
    <w:name w:val="Intense Reference"/>
    <w:basedOn w:val="DefaultParagraphFont"/>
    <w:uiPriority w:val="32"/>
    <w:qFormat/>
    <w:rsid w:val="005D6C84"/>
    <w:rPr>
      <w:b w:val="0"/>
      <w:bCs/>
      <w:smallCaps/>
      <w:color w:val="4F81BD" w:themeColor="accent1"/>
      <w:spacing w:val="5"/>
      <w:u w:val="single"/>
    </w:rPr>
  </w:style>
  <w:style w:type="character" w:styleId="BookTitle">
    <w:name w:val="Book Title"/>
    <w:basedOn w:val="DefaultParagraphFont"/>
    <w:uiPriority w:val="33"/>
    <w:qFormat/>
    <w:rsid w:val="005D6C84"/>
    <w:rPr>
      <w:b/>
      <w:bCs/>
      <w:caps/>
      <w:smallCaps w:val="0"/>
      <w:color w:val="1F497D" w:themeColor="text2"/>
      <w:spacing w:val="10"/>
    </w:rPr>
  </w:style>
  <w:style w:type="paragraph" w:styleId="TOCHeading">
    <w:name w:val="TOC Heading"/>
    <w:basedOn w:val="Heading1"/>
    <w:next w:val="Normal"/>
    <w:uiPriority w:val="39"/>
    <w:semiHidden/>
    <w:unhideWhenUsed/>
    <w:qFormat/>
    <w:rsid w:val="005D6C84"/>
    <w:pPr>
      <w:spacing w:before="480" w:line="264" w:lineRule="auto"/>
      <w:outlineLvl w:val="9"/>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C84"/>
    <w:pPr>
      <w:spacing w:after="180" w:line="274" w:lineRule="auto"/>
    </w:pPr>
    <w:rPr>
      <w:sz w:val="21"/>
    </w:rPr>
  </w:style>
  <w:style w:type="paragraph" w:styleId="Heading1">
    <w:name w:val="heading 1"/>
    <w:basedOn w:val="Normal"/>
    <w:next w:val="Normal"/>
    <w:link w:val="Heading1Char"/>
    <w:uiPriority w:val="9"/>
    <w:qFormat/>
    <w:rsid w:val="005D6C84"/>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semiHidden/>
    <w:unhideWhenUsed/>
    <w:qFormat/>
    <w:rsid w:val="005D6C84"/>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5D6C84"/>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5D6C84"/>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5D6C84"/>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5D6C84"/>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5D6C84"/>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5D6C84"/>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5D6C84"/>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676"/>
    <w:rPr>
      <w:color w:val="0000FF" w:themeColor="hyperlink"/>
      <w:u w:val="single"/>
    </w:rPr>
  </w:style>
  <w:style w:type="character" w:styleId="CommentReference">
    <w:name w:val="annotation reference"/>
    <w:basedOn w:val="DefaultParagraphFont"/>
    <w:uiPriority w:val="99"/>
    <w:semiHidden/>
    <w:unhideWhenUsed/>
    <w:rsid w:val="00B7611E"/>
    <w:rPr>
      <w:sz w:val="16"/>
      <w:szCs w:val="16"/>
    </w:rPr>
  </w:style>
  <w:style w:type="paragraph" w:styleId="CommentText">
    <w:name w:val="annotation text"/>
    <w:basedOn w:val="Normal"/>
    <w:link w:val="CommentTextChar"/>
    <w:uiPriority w:val="99"/>
    <w:semiHidden/>
    <w:unhideWhenUsed/>
    <w:rsid w:val="00B7611E"/>
    <w:pPr>
      <w:spacing w:line="240" w:lineRule="auto"/>
    </w:pPr>
    <w:rPr>
      <w:sz w:val="20"/>
      <w:szCs w:val="20"/>
    </w:rPr>
  </w:style>
  <w:style w:type="character" w:customStyle="1" w:styleId="CommentTextChar">
    <w:name w:val="Comment Text Char"/>
    <w:basedOn w:val="DefaultParagraphFont"/>
    <w:link w:val="CommentText"/>
    <w:uiPriority w:val="99"/>
    <w:semiHidden/>
    <w:rsid w:val="00B7611E"/>
    <w:rPr>
      <w:sz w:val="20"/>
      <w:szCs w:val="20"/>
    </w:rPr>
  </w:style>
  <w:style w:type="paragraph" w:styleId="CommentSubject">
    <w:name w:val="annotation subject"/>
    <w:basedOn w:val="CommentText"/>
    <w:next w:val="CommentText"/>
    <w:link w:val="CommentSubjectChar"/>
    <w:uiPriority w:val="99"/>
    <w:semiHidden/>
    <w:unhideWhenUsed/>
    <w:rsid w:val="00B7611E"/>
    <w:rPr>
      <w:b/>
      <w:bCs/>
    </w:rPr>
  </w:style>
  <w:style w:type="character" w:customStyle="1" w:styleId="CommentSubjectChar">
    <w:name w:val="Comment Subject Char"/>
    <w:basedOn w:val="CommentTextChar"/>
    <w:link w:val="CommentSubject"/>
    <w:uiPriority w:val="99"/>
    <w:semiHidden/>
    <w:rsid w:val="00B7611E"/>
    <w:rPr>
      <w:b/>
      <w:bCs/>
      <w:sz w:val="20"/>
      <w:szCs w:val="20"/>
    </w:rPr>
  </w:style>
  <w:style w:type="paragraph" w:styleId="BalloonText">
    <w:name w:val="Balloon Text"/>
    <w:basedOn w:val="Normal"/>
    <w:link w:val="BalloonTextChar"/>
    <w:uiPriority w:val="99"/>
    <w:semiHidden/>
    <w:unhideWhenUsed/>
    <w:rsid w:val="00B76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11E"/>
    <w:rPr>
      <w:rFonts w:ascii="Tahoma" w:hAnsi="Tahoma" w:cs="Tahoma"/>
      <w:sz w:val="16"/>
      <w:szCs w:val="16"/>
    </w:rPr>
  </w:style>
  <w:style w:type="paragraph" w:styleId="ListParagraph">
    <w:name w:val="List Paragraph"/>
    <w:basedOn w:val="Normal"/>
    <w:uiPriority w:val="34"/>
    <w:qFormat/>
    <w:rsid w:val="005D6C84"/>
    <w:pPr>
      <w:spacing w:line="240" w:lineRule="auto"/>
      <w:ind w:left="720" w:hanging="288"/>
      <w:contextualSpacing/>
    </w:pPr>
    <w:rPr>
      <w:color w:val="1F497D" w:themeColor="text2"/>
    </w:rPr>
  </w:style>
  <w:style w:type="character" w:customStyle="1" w:styleId="Heading1Char">
    <w:name w:val="Heading 1 Char"/>
    <w:basedOn w:val="DefaultParagraphFont"/>
    <w:link w:val="Heading1"/>
    <w:uiPriority w:val="9"/>
    <w:rsid w:val="005D6C84"/>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semiHidden/>
    <w:rsid w:val="005D6C84"/>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semiHidden/>
    <w:rsid w:val="005D6C84"/>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5D6C84"/>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5D6C84"/>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5D6C84"/>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5D6C84"/>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5D6C84"/>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5D6C84"/>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5D6C84"/>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5D6C84"/>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5D6C84"/>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5D6C84"/>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5D6C84"/>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5D6C84"/>
    <w:rPr>
      <w:b w:val="0"/>
      <w:bCs/>
      <w:i/>
      <w:color w:val="1F497D" w:themeColor="text2"/>
    </w:rPr>
  </w:style>
  <w:style w:type="character" w:styleId="Emphasis">
    <w:name w:val="Emphasis"/>
    <w:basedOn w:val="DefaultParagraphFont"/>
    <w:uiPriority w:val="20"/>
    <w:qFormat/>
    <w:rsid w:val="005D6C84"/>
    <w:rPr>
      <w:b/>
      <w:i/>
      <w:iCs/>
    </w:rPr>
  </w:style>
  <w:style w:type="paragraph" w:styleId="NoSpacing">
    <w:name w:val="No Spacing"/>
    <w:link w:val="NoSpacingChar"/>
    <w:uiPriority w:val="1"/>
    <w:qFormat/>
    <w:rsid w:val="005D6C84"/>
    <w:pPr>
      <w:spacing w:after="0" w:line="240" w:lineRule="auto"/>
    </w:pPr>
  </w:style>
  <w:style w:type="character" w:customStyle="1" w:styleId="NoSpacingChar">
    <w:name w:val="No Spacing Char"/>
    <w:basedOn w:val="DefaultParagraphFont"/>
    <w:link w:val="NoSpacing"/>
    <w:uiPriority w:val="1"/>
    <w:rsid w:val="005D6C84"/>
  </w:style>
  <w:style w:type="paragraph" w:styleId="Quote">
    <w:name w:val="Quote"/>
    <w:basedOn w:val="Normal"/>
    <w:next w:val="Normal"/>
    <w:link w:val="QuoteChar"/>
    <w:uiPriority w:val="29"/>
    <w:qFormat/>
    <w:rsid w:val="005D6C84"/>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5D6C84"/>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5D6C84"/>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5D6C84"/>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5D6C84"/>
    <w:rPr>
      <w:i/>
      <w:iCs/>
      <w:color w:val="000000"/>
    </w:rPr>
  </w:style>
  <w:style w:type="character" w:styleId="IntenseEmphasis">
    <w:name w:val="Intense Emphasis"/>
    <w:basedOn w:val="DefaultParagraphFont"/>
    <w:uiPriority w:val="21"/>
    <w:qFormat/>
    <w:rsid w:val="005D6C84"/>
    <w:rPr>
      <w:b/>
      <w:bCs/>
      <w:i/>
      <w:iCs/>
      <w:color w:val="4F81BD" w:themeColor="accent1"/>
    </w:rPr>
  </w:style>
  <w:style w:type="character" w:styleId="SubtleReference">
    <w:name w:val="Subtle Reference"/>
    <w:basedOn w:val="DefaultParagraphFont"/>
    <w:uiPriority w:val="31"/>
    <w:qFormat/>
    <w:rsid w:val="005D6C84"/>
    <w:rPr>
      <w:smallCaps/>
      <w:color w:val="000000"/>
      <w:u w:val="single"/>
    </w:rPr>
  </w:style>
  <w:style w:type="character" w:styleId="IntenseReference">
    <w:name w:val="Intense Reference"/>
    <w:basedOn w:val="DefaultParagraphFont"/>
    <w:uiPriority w:val="32"/>
    <w:qFormat/>
    <w:rsid w:val="005D6C84"/>
    <w:rPr>
      <w:b w:val="0"/>
      <w:bCs/>
      <w:smallCaps/>
      <w:color w:val="4F81BD" w:themeColor="accent1"/>
      <w:spacing w:val="5"/>
      <w:u w:val="single"/>
    </w:rPr>
  </w:style>
  <w:style w:type="character" w:styleId="BookTitle">
    <w:name w:val="Book Title"/>
    <w:basedOn w:val="DefaultParagraphFont"/>
    <w:uiPriority w:val="33"/>
    <w:qFormat/>
    <w:rsid w:val="005D6C84"/>
    <w:rPr>
      <w:b/>
      <w:bCs/>
      <w:caps/>
      <w:smallCaps w:val="0"/>
      <w:color w:val="1F497D" w:themeColor="text2"/>
      <w:spacing w:val="10"/>
    </w:rPr>
  </w:style>
  <w:style w:type="paragraph" w:styleId="TOCHeading">
    <w:name w:val="TOC Heading"/>
    <w:basedOn w:val="Heading1"/>
    <w:next w:val="Normal"/>
    <w:uiPriority w:val="39"/>
    <w:semiHidden/>
    <w:unhideWhenUsed/>
    <w:qFormat/>
    <w:rsid w:val="005D6C84"/>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42766">
      <w:bodyDiv w:val="1"/>
      <w:marLeft w:val="0"/>
      <w:marRight w:val="0"/>
      <w:marTop w:val="0"/>
      <w:marBottom w:val="0"/>
      <w:divBdr>
        <w:top w:val="none" w:sz="0" w:space="0" w:color="auto"/>
        <w:left w:val="none" w:sz="0" w:space="0" w:color="auto"/>
        <w:bottom w:val="none" w:sz="0" w:space="0" w:color="auto"/>
        <w:right w:val="none" w:sz="0" w:space="0" w:color="auto"/>
      </w:divBdr>
      <w:divsChild>
        <w:div w:id="1553929244">
          <w:marLeft w:val="0"/>
          <w:marRight w:val="0"/>
          <w:marTop w:val="375"/>
          <w:marBottom w:val="375"/>
          <w:divBdr>
            <w:top w:val="none" w:sz="0" w:space="0" w:color="auto"/>
            <w:left w:val="none" w:sz="0" w:space="0" w:color="auto"/>
            <w:bottom w:val="none" w:sz="0" w:space="0" w:color="auto"/>
            <w:right w:val="none" w:sz="0" w:space="0" w:color="auto"/>
          </w:divBdr>
        </w:div>
        <w:div w:id="602494602">
          <w:marLeft w:val="0"/>
          <w:marRight w:val="0"/>
          <w:marTop w:val="0"/>
          <w:marBottom w:val="750"/>
          <w:divBdr>
            <w:top w:val="none" w:sz="0" w:space="0" w:color="auto"/>
            <w:left w:val="none" w:sz="0" w:space="0" w:color="auto"/>
            <w:bottom w:val="none" w:sz="0" w:space="0" w:color="auto"/>
            <w:right w:val="none" w:sz="0" w:space="0" w:color="auto"/>
          </w:divBdr>
          <w:divsChild>
            <w:div w:id="8723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grants.nih.gov/grants/policy/coi/tutorial2011/fcoi.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E01F7-9998-496F-B353-CC2E0714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 Compliance Temp</dc:creator>
  <cp:lastModifiedBy>Maria Funk</cp:lastModifiedBy>
  <cp:revision>15</cp:revision>
  <cp:lastPrinted>2012-07-14T19:56:00Z</cp:lastPrinted>
  <dcterms:created xsi:type="dcterms:W3CDTF">2012-06-25T15:39:00Z</dcterms:created>
  <dcterms:modified xsi:type="dcterms:W3CDTF">2012-07-14T20:10:00Z</dcterms:modified>
</cp:coreProperties>
</file>